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/>
    </w:p>
    <w:sectPr w:rsidR="00FC693F" w:rsidRPr="0006063C" w:rsidSect="00034616">
      <w:headerReference w:type="default" r:id="rId9"/>
      <w:footerReference w:type="default" r:id="rId10"/>
      <w:pgSz w:w="12240" w:h="15840"/>
      <w:pgMar w:top="1512" w:right="0" w:bottom="1008" w:left="0" w:header="403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embedRegular r:id="rId1" w:fontKey="{DA24D62A-DF8F-5C9E-B057-21D1ECE4DB89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before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772400" cy="438912"/>
          <wp:wrapNone/>
          <wp:docPr id="1" name="Picture 1" descr="Graphite footer field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ordering-footer-ban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438912"/>
                  </a:xfrm>
                  <a:prstGeom prst="rect"/>
                </pic:spPr>
              </pic:pic>
            </a:graphicData>
          </a:graphic>
        </wp:anchor>
      </w:drawing>
    </w:r>
  </w:p>
  <w:tbl>
    <w:tblPr>
      <w:tblW w:type="dxa" w:w="11340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4320"/>
      <w:gridCol w:w="3600"/>
      <w:gridCol w:w="3420"/>
    </w:tblGrid>
    <w:tr>
      <w:trPr>
        <w:trHeight w:val="691" w:hRule="exact"/>
      </w:trPr>
      <w:tc>
        <w:tcPr>
          <w:tcW w:type="dxa" w:w="4320"/>
          <w:shd w:fill="0B0C0D"/>
          <w:tcMar>
            <w:top w:w="0" w:type="dxa"/>
            <w:start w:w="1037" w:type="dxa"/>
            <w:bottom w:w="0" w:type="dxa"/>
            <w:end w:w="0" w:type="dxa"/>
          </w:tcMar>
          <w:vAlign w:val="center"/>
        </w:tcPr>
        <w:p>
          <w:pPr>
            <w:spacing w:after="0" w:before="0"/>
          </w:pPr>
          <w:r>
            <w:drawing>
              <wp:inline xmlns:a="http://schemas.openxmlformats.org/drawingml/2006/main" xmlns:pic="http://schemas.openxmlformats.org/drawingml/2006/picture">
                <wp:extent cx="932688" cy="169274"/>
                <wp:docPr id="2" name="Picture 2" descr="Ordering.c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rdering-lockup-color-reverse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2688" cy="16927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600"/>
          <w:shd w:fill="0B0C0D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spacing w:after="0" w:before="0"/>
            <w:jc w:val="center"/>
          </w:pPr>
          <w:r>
            <w:rPr>
              <w:rFonts w:ascii="Inter" w:hAnsi="Inter" w:eastAsia="Inter"/>
              <w:b/>
              <w:color w:val="FFFFFF"/>
              <w:sz w:val="15"/>
            </w:rPr>
            <w:t>www.ordering.co</w:t>
          </w:r>
        </w:p>
      </w:tc>
      <w:tc>
        <w:tcPr>
          <w:tcW w:type="dxa" w:w="3420"/>
          <w:shd w:fill="0B0C0D"/>
          <w:tcMar>
            <w:top w:w="0" w:type="dxa"/>
            <w:start w:w="0" w:type="dxa"/>
            <w:bottom w:w="0" w:type="dxa"/>
            <w:end w:w="137" w:type="dxa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Inter" w:hAnsi="Inter" w:eastAsia="Inter"/>
              <w:color w:val="FFFFFF"/>
              <w:sz w:val="14"/>
            </w:rPr>
            <w:fldChar w:fldCharType="begin"/>
          </w:r>
          <w:r>
            <w:rPr>
              <w:rFonts w:ascii="Inter" w:hAnsi="Inter" w:eastAsia="Inter"/>
              <w:color w:val="FFFFFF"/>
              <w:sz w:val="14"/>
            </w:rPr>
            <w:instrText xml:space="preserve"> PAGE </w:instrText>
          </w:r>
          <w:r>
            <w:rPr>
              <w:rFonts w:ascii="Inter" w:hAnsi="Inter" w:eastAsia="Inter"/>
              <w:color w:val="FFFFFF"/>
              <w:sz w:val="14"/>
            </w:rPr>
            <w:fldChar w:fldCharType="separate"/>
          </w:r>
          <w:r>
            <w:rPr>
              <w:rFonts w:ascii="Inter" w:hAnsi="Inter" w:eastAsia="Inter"/>
              <w:color w:val="FFFFFF"/>
              <w:sz w:val="14"/>
            </w:rPr>
            <w:t>1</w:t>
          </w:r>
          <w:r>
            <w:rPr>
              <w:rFonts w:ascii="Inter" w:hAnsi="Inter" w:eastAsia="Inter"/>
              <w:color w:val="FFFFFF"/>
              <w:sz w:val="14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140"/>
      <w:ind w:left="1037" w:right="1037"/>
      <w:jc w:val="left"/>
    </w:pPr>
    <w:r>
      <w:drawing>
        <wp:inline xmlns:a="http://schemas.openxmlformats.org/drawingml/2006/main" xmlns:pic="http://schemas.openxmlformats.org/drawingml/2006/picture">
          <wp:extent cx="1755648" cy="318633"/>
          <wp:docPr id="1" name="Picture 1" descr="Ordering.c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ordering-lockup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5648" cy="318633"/>
                  </a:xfrm>
                  <a:prstGeom prst="rect"/>
                </pic:spPr>
              </pic:pic>
            </a:graphicData>
          </a:graphic>
        </wp:inline>
      </w:drawing>
    </w:r>
  </w:p>
  <w:tbl>
    <w:tblPr>
      <w:tblW w:type="dxa" w:w="10166"/>
      <w:jc w:val="left"/>
      <w:tblLayout w:type="fixed"/>
      <w:tblLook w:firstColumn="1" w:firstRow="1" w:lastColumn="0" w:lastRow="0" w:noHBand="0" w:noVBand="1" w:val="04A0"/>
      <w:tblInd w:w="1037" w:type="dxa"/>
    </w:tblPr>
    <w:tblGrid>
      <w:gridCol w:w="960"/>
      <w:gridCol w:w="9206"/>
    </w:tblGrid>
    <w:tr>
      <w:trPr>
        <w:trHeight w:val="45" w:hRule="exact"/>
      </w:trPr>
      <w:tc>
        <w:tcPr>
          <w:tcW w:type="dxa" w:w="960"/>
          <w:tcMar>
            <w:top w:w="0" w:type="dxa"/>
            <w:start w:w="0" w:type="dxa"/>
            <w:bottom w:w="0" w:type="dxa"/>
            <w:end w:w="0" w:type="dxa"/>
          </w:tcMar>
          <w:vAlign w:val="center"/>
          <w:shd w:fill="266DF0"/>
        </w:tcPr>
        <w:p>
          <w:pPr>
            <w:spacing w:after="0" w:before="0"/>
          </w:pPr>
        </w:p>
      </w:tc>
      <w:tc>
        <w:tcPr>
          <w:tcW w:type="dxa" w:w="9206"/>
          <w:tcMar>
            <w:top w:w="0" w:type="dxa"/>
            <w:start w:w="0" w:type="dxa"/>
            <w:bottom w:w="0" w:type="dxa"/>
            <w:end w:w="0" w:type="dxa"/>
          </w:tcMar>
          <w:vAlign w:val="center"/>
          <w:shd w:fill="D9DDE3"/>
        </w:tcPr>
        <w:p>
          <w:pPr>
            <w:spacing w:after="0" w:before="0"/>
          </w:pP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  <w:ind w:left="1037" w:right="1037"/>
    </w:pPr>
    <w:rPr>
      <w:rFonts w:ascii="Inter" w:hAnsi="Inter"/>
      <w:color w:val="0B0C0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ind w:left="1037" w:right="1037"/>
      <w:outlineLvl w:val="0"/>
    </w:pPr>
    <w:rPr>
      <w:rFonts w:asciiTheme="majorHAnsi" w:eastAsiaTheme="majorEastAsia" w:hAnsiTheme="majorHAnsi" w:cstheme="majorBidi" w:ascii="Inter" w:hAnsi="Inter"/>
      <w:b/>
      <w:bCs/>
      <w:color w:val="0B0C0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00"/>
      <w:ind w:left="1037" w:right="1037"/>
      <w:outlineLvl w:val="1"/>
    </w:pPr>
    <w:rPr>
      <w:rFonts w:asciiTheme="majorHAnsi" w:eastAsiaTheme="majorEastAsia" w:hAnsiTheme="majorHAnsi" w:cstheme="majorBidi" w:ascii="Inter" w:hAnsi="Inter"/>
      <w:b/>
      <w:bCs/>
      <w:color w:val="0B0C0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ind w:left="1037" w:right="1037"/>
      <w:outlineLvl w:val="2"/>
    </w:pPr>
    <w:rPr>
      <w:rFonts w:asciiTheme="majorHAnsi" w:eastAsiaTheme="majorEastAsia" w:hAnsiTheme="majorHAnsi" w:cstheme="majorBidi" w:ascii="Inter" w:hAnsi="Inter"/>
      <w:b/>
      <w:bCs/>
      <w:color w:val="0B0C0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240" w:line="240" w:lineRule="auto" w:before="0"/>
      <w:ind w:left="1037" w:right="1037"/>
      <w:contextualSpacing/>
    </w:pPr>
    <w:rPr>
      <w:rFonts w:asciiTheme="majorHAnsi" w:eastAsiaTheme="majorEastAsia" w:hAnsiTheme="majorHAnsi" w:cstheme="majorBidi" w:ascii="Inter" w:hAnsi="Inter"/>
      <w:b/>
      <w:color w:val="0B0C0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numPr>
        <w:ilvl w:val="1"/>
      </w:numPr>
      <w:spacing w:before="0" w:after="320"/>
      <w:ind w:left="1037" w:right="1037"/>
    </w:pPr>
    <w:rPr>
      <w:rFonts w:asciiTheme="majorHAnsi" w:eastAsiaTheme="majorEastAsia" w:hAnsiTheme="majorHAnsi" w:cstheme="majorBidi" w:ascii="Inter" w:hAnsi="Inter"/>
      <w:b w:val="0"/>
      <w:i/>
      <w:iCs/>
      <w:color w:val="5F6368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InterVariable.odttf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Ordering.co letterhead</dc:title>
  <dc:subject>Official Ordering.co letterhead template</dc:subject>
  <dc:creator>Ordering.co</dc:creator>
  <cp:keywords>Ordering.co, letterhead, brand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